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2C" w:rsidRPr="00B84759" w:rsidRDefault="0089062C" w:rsidP="00B847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 та очікуваної вартості предмета закупівлі</w:t>
      </w:r>
    </w:p>
    <w:p w:rsidR="0089062C" w:rsidRDefault="0089062C" w:rsidP="00890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жалюзі вертикальні та горизонтальні з монтажем</w:t>
      </w:r>
    </w:p>
    <w:p w:rsidR="0089062C" w:rsidRDefault="0089062C" w:rsidP="0089062C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9062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Код ДК 021:2015:</w:t>
      </w:r>
      <w:r w:rsidRPr="008906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8906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39510000-0 Вироби домашнього текстилю (</w:t>
      </w:r>
      <w:r w:rsidRPr="008906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39515440-1 Вертикальні жалюзі; 39515430-8 Горизонтальні жалюзі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) – спрощена закупівля</w:t>
      </w:r>
    </w:p>
    <w:p w:rsidR="0089062C" w:rsidRPr="0089062C" w:rsidRDefault="0089062C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proofErr w:type="spellStart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дентифікатор</w:t>
      </w:r>
      <w:proofErr w:type="spellEnd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06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hyperlink r:id="rId4" w:tgtFrame="_blank" w:history="1">
        <w:r w:rsidRPr="0089062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UA-P-2021-12-07-016374-c</w:t>
        </w:r>
      </w:hyperlink>
    </w:p>
    <w:p w:rsidR="0089062C" w:rsidRDefault="0089062C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890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06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hyperlink r:id="rId5" w:tgtFrame="_blank" w:history="1">
        <w:r w:rsidRPr="0089062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UA-2021-12-07-015990-c</w:t>
        </w:r>
      </w:hyperlink>
    </w:p>
    <w:p w:rsidR="0089062C" w:rsidRDefault="0089062C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2C" w:rsidRPr="0089062C" w:rsidRDefault="0089062C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6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Розмір бюджетного призначення, очікуваної вартості предмета закупівлі:</w:t>
      </w:r>
    </w:p>
    <w:p w:rsidR="0089062C" w:rsidRDefault="0089062C" w:rsidP="00B84759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проводиться згідно з розрахунком витрат до кошторису Управління адміністративних послуг Полтавської міської ради</w:t>
      </w:r>
      <w:r w:rsidR="00DE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облаштування орендованого приміщення за </w:t>
      </w:r>
      <w:proofErr w:type="spellStart"/>
      <w:r w:rsidR="00DE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E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Полтава, вул. Соборності, 45А для розміщення відділу «Центр надання адміністративних послуг» Управління адміністративних послуг Полтавської міської ради.</w:t>
      </w:r>
    </w:p>
    <w:p w:rsidR="0089062C" w:rsidRDefault="0089062C" w:rsidP="00B84759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Місцевий бюджет, 150000,00 грн.</w:t>
      </w:r>
      <w:r w:rsidR="00B84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Очікувана вартість предмета закупівлі була визначена із застосуванням Примірної методики визначення очікуваної вартості предмета закупівлі, затвердженої наказом </w:t>
      </w:r>
      <w:proofErr w:type="spellStart"/>
      <w:r w:rsidR="00B84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="00B84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від 18.02.2020 № 275, методом порівняння ринкових цін очікуваної вартості на підставі даних ринку загальнодоступної відкритої інформації про ціни, що міститься в мережі Інтернет у відкритому доступі.</w:t>
      </w:r>
    </w:p>
    <w:p w:rsidR="00B84759" w:rsidRDefault="00B84759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4759" w:rsidRDefault="00B84759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якості, технічне завдання: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1662"/>
        <w:gridCol w:w="3439"/>
        <w:gridCol w:w="1013"/>
        <w:gridCol w:w="1276"/>
        <w:gridCol w:w="1276"/>
      </w:tblGrid>
      <w:tr w:rsidR="00B84759" w:rsidTr="00E418C1">
        <w:trPr>
          <w:trHeight w:val="315"/>
        </w:trPr>
        <w:tc>
          <w:tcPr>
            <w:tcW w:w="506" w:type="dxa"/>
            <w:vMerge w:val="restart"/>
          </w:tcPr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7C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7C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662" w:type="dxa"/>
            <w:vMerge w:val="restart"/>
          </w:tcPr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7C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3439" w:type="dxa"/>
            <w:vMerge w:val="restart"/>
          </w:tcPr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7C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Характеристики</w:t>
            </w:r>
          </w:p>
        </w:tc>
        <w:tc>
          <w:tcPr>
            <w:tcW w:w="2289" w:type="dxa"/>
            <w:gridSpan w:val="2"/>
          </w:tcPr>
          <w:p w:rsidR="00B84759" w:rsidRPr="00E17C8A" w:rsidRDefault="00B84759" w:rsidP="00E41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7C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17C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276" w:type="dxa"/>
            <w:vMerge w:val="restart"/>
          </w:tcPr>
          <w:p w:rsidR="00B84759" w:rsidRPr="00E17C8A" w:rsidRDefault="00B84759" w:rsidP="00E41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7C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</w:tr>
      <w:tr w:rsidR="00B84759" w:rsidTr="00E418C1">
        <w:trPr>
          <w:trHeight w:val="225"/>
        </w:trPr>
        <w:tc>
          <w:tcPr>
            <w:tcW w:w="506" w:type="dxa"/>
            <w:vMerge/>
          </w:tcPr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ширина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висота</w:t>
            </w:r>
          </w:p>
        </w:tc>
        <w:tc>
          <w:tcPr>
            <w:tcW w:w="1276" w:type="dxa"/>
            <w:vMerge/>
          </w:tcPr>
          <w:p w:rsidR="00B84759" w:rsidRPr="00E17C8A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4759" w:rsidTr="00E418C1">
        <w:trPr>
          <w:trHeight w:val="297"/>
        </w:trPr>
        <w:tc>
          <w:tcPr>
            <w:tcW w:w="506" w:type="dxa"/>
            <w:vMerge w:val="restart"/>
          </w:tcPr>
          <w:p w:rsidR="00B84759" w:rsidRPr="00E17C8A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2" w:type="dxa"/>
            <w:vMerge w:val="restart"/>
          </w:tcPr>
          <w:p w:rsidR="00B84759" w:rsidRPr="00707865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786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Жалюзі вертикальні</w:t>
            </w:r>
          </w:p>
          <w:p w:rsidR="00B84759" w:rsidRPr="00707865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786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монтажем</w:t>
            </w:r>
          </w:p>
          <w:p w:rsidR="00B84759" w:rsidRPr="00E17C8A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 w:val="restart"/>
          </w:tcPr>
          <w:p w:rsidR="00B84759" w:rsidRPr="00E17C8A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  <w:t>Колір: сірий</w:t>
            </w:r>
          </w:p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84759" w:rsidRPr="00E53894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Вертикальні тканин</w:t>
            </w:r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ні жалюзі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складаються із карнизу зі стержнем та бігунками до яких кріпляться </w:t>
            </w:r>
            <w:proofErr w:type="spellStart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ламелі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(тканина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Roma</w:t>
            </w:r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0906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» або еквівалент)</w:t>
            </w:r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шнур для переміщення </w:t>
            </w:r>
            <w:proofErr w:type="spellStart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ламелей</w:t>
            </w:r>
            <w:proofErr w:type="spellEnd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 карнизу, ланцюжок для повороту </w:t>
            </w:r>
            <w:proofErr w:type="spellStart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ламелей</w:t>
            </w:r>
            <w:proofErr w:type="spellEnd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груз</w:t>
            </w:r>
            <w:proofErr w:type="spellEnd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вертикального натягнення </w:t>
            </w:r>
            <w:proofErr w:type="spellStart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ламелей</w:t>
            </w:r>
            <w:proofErr w:type="spellEnd"/>
            <w:r w:rsidRPr="00E17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Стійкі до вологи, ультрафіолету та біологічного руйнування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2,775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3,080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84759" w:rsidTr="00E418C1">
        <w:trPr>
          <w:trHeight w:val="333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2,265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3,080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84759" w:rsidTr="00E418C1">
        <w:trPr>
          <w:trHeight w:val="285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2,810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3,080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84759" w:rsidTr="00E418C1">
        <w:trPr>
          <w:trHeight w:val="300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2,350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3,080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B84759" w:rsidTr="00E418C1">
        <w:trPr>
          <w:trHeight w:val="345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2,520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3,074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84759" w:rsidTr="00E418C1">
        <w:trPr>
          <w:trHeight w:val="540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2,900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3,074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84759" w:rsidTr="00E418C1">
        <w:trPr>
          <w:trHeight w:val="390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2,450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3,074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84759" w:rsidTr="00E418C1">
        <w:trPr>
          <w:trHeight w:val="435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2,265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3,070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B84759" w:rsidTr="00E418C1">
        <w:trPr>
          <w:trHeight w:val="420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Default="00B84759" w:rsidP="00E418C1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1013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2,815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3,074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84759" w:rsidTr="00E418C1">
        <w:trPr>
          <w:trHeight w:val="405"/>
        </w:trPr>
        <w:tc>
          <w:tcPr>
            <w:tcW w:w="506" w:type="dxa"/>
            <w:vMerge w:val="restart"/>
          </w:tcPr>
          <w:p w:rsidR="00B84759" w:rsidRPr="00E17C8A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62" w:type="dxa"/>
            <w:vMerge w:val="restart"/>
          </w:tcPr>
          <w:p w:rsidR="00B84759" w:rsidRPr="00707865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786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Жалюзі горизонтальні</w:t>
            </w:r>
          </w:p>
          <w:p w:rsidR="00B84759" w:rsidRPr="00E17C8A" w:rsidRDefault="00B84759" w:rsidP="00E418C1">
            <w:pPr>
              <w:pStyle w:val="a3"/>
              <w:rPr>
                <w:lang w:val="uk-UA" w:eastAsia="uk-UA"/>
              </w:rPr>
            </w:pPr>
            <w:r w:rsidRPr="0070786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монтажем</w:t>
            </w:r>
          </w:p>
        </w:tc>
        <w:tc>
          <w:tcPr>
            <w:tcW w:w="3439" w:type="dxa"/>
            <w:vMerge w:val="restart"/>
          </w:tcPr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 w:rsidRPr="00D87517">
              <w:rPr>
                <w:rFonts w:ascii="Times New Roman" w:hAnsi="Times New Roman"/>
                <w:u w:val="single"/>
                <w:lang w:val="uk-UA" w:eastAsia="zh-CN"/>
              </w:rPr>
              <w:t>Комплектація</w:t>
            </w:r>
            <w:r w:rsidRPr="00D87517">
              <w:rPr>
                <w:rFonts w:ascii="Times New Roman" w:hAnsi="Times New Roman"/>
                <w:lang w:val="uk-UA" w:eastAsia="zh-CN"/>
              </w:rPr>
              <w:t>: Стандарт</w:t>
            </w:r>
          </w:p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 w:rsidRPr="00D87517">
              <w:rPr>
                <w:rFonts w:ascii="Times New Roman" w:hAnsi="Times New Roman"/>
                <w:lang w:val="uk-UA" w:eastAsia="zh-CN"/>
              </w:rPr>
              <w:t>Профіль металевий</w:t>
            </w:r>
          </w:p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lastRenderedPageBreak/>
              <w:t xml:space="preserve">Колір: сріблястий </w:t>
            </w:r>
            <w:proofErr w:type="spellStart"/>
            <w:r>
              <w:rPr>
                <w:rFonts w:ascii="Times New Roman" w:hAnsi="Times New Roman"/>
                <w:lang w:val="uk-UA" w:eastAsia="zh-CN"/>
              </w:rPr>
              <w:t>металік</w:t>
            </w:r>
            <w:proofErr w:type="spellEnd"/>
          </w:p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u w:val="single"/>
                <w:lang w:val="uk-UA" w:eastAsia="zh-CN"/>
              </w:rPr>
            </w:pPr>
            <w:r w:rsidRPr="00D87517">
              <w:rPr>
                <w:rFonts w:ascii="Times New Roman" w:hAnsi="Times New Roman"/>
                <w:u w:val="single"/>
                <w:lang w:val="uk-UA" w:eastAsia="zh-CN"/>
              </w:rPr>
              <w:t>Полотно</w:t>
            </w:r>
          </w:p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color w:val="FF0000"/>
                <w:lang w:val="uk-UA" w:eastAsia="zh-CN"/>
              </w:rPr>
            </w:pPr>
            <w:proofErr w:type="spellStart"/>
            <w:r w:rsidRPr="00D87517">
              <w:rPr>
                <w:rFonts w:ascii="Times New Roman" w:hAnsi="Times New Roman"/>
                <w:lang w:val="uk-UA" w:eastAsia="zh-CN"/>
              </w:rPr>
              <w:t>Ламелі</w:t>
            </w:r>
            <w:proofErr w:type="spellEnd"/>
            <w:r w:rsidRPr="00D87517">
              <w:rPr>
                <w:rFonts w:ascii="Times New Roman" w:hAnsi="Times New Roman"/>
                <w:lang w:val="uk-UA" w:eastAsia="zh-CN"/>
              </w:rPr>
              <w:t xml:space="preserve">  мм: 25</w:t>
            </w:r>
          </w:p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 xml:space="preserve">Колір: сріблястий </w:t>
            </w:r>
            <w:proofErr w:type="spellStart"/>
            <w:r>
              <w:rPr>
                <w:rFonts w:ascii="Times New Roman" w:hAnsi="Times New Roman"/>
                <w:lang w:val="uk-UA" w:eastAsia="zh-CN"/>
              </w:rPr>
              <w:t>металік</w:t>
            </w:r>
            <w:proofErr w:type="spellEnd"/>
          </w:p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 w:rsidRPr="00D87517">
              <w:rPr>
                <w:rFonts w:ascii="Times New Roman" w:hAnsi="Times New Roman"/>
                <w:lang w:val="uk-UA" w:eastAsia="zh-CN"/>
              </w:rPr>
              <w:t>Товщина мм: 0,21</w:t>
            </w:r>
          </w:p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 w:rsidRPr="00D87517">
              <w:rPr>
                <w:rFonts w:ascii="Times New Roman" w:hAnsi="Times New Roman"/>
                <w:lang w:val="uk-UA" w:eastAsia="zh-CN"/>
              </w:rPr>
              <w:t>Фіксація полотна – фіксатори</w:t>
            </w:r>
          </w:p>
          <w:p w:rsidR="00B84759" w:rsidRPr="00E17C8A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7517">
              <w:rPr>
                <w:rFonts w:ascii="Times New Roman" w:hAnsi="Times New Roman"/>
                <w:lang w:val="uk-UA" w:eastAsia="zh-CN"/>
              </w:rPr>
              <w:t>Пропускна сонячна щільність: не менш</w:t>
            </w:r>
            <w:r>
              <w:rPr>
                <w:rFonts w:ascii="Times New Roman" w:hAnsi="Times New Roman"/>
                <w:lang w:val="uk-UA" w:eastAsia="zh-CN"/>
              </w:rPr>
              <w:t>е</w:t>
            </w:r>
            <w:r w:rsidRPr="00D87517">
              <w:rPr>
                <w:rFonts w:ascii="Times New Roman" w:hAnsi="Times New Roman"/>
                <w:lang w:val="uk-UA" w:eastAsia="zh-CN"/>
              </w:rPr>
              <w:t xml:space="preserve"> 70%. </w:t>
            </w:r>
          </w:p>
        </w:tc>
        <w:tc>
          <w:tcPr>
            <w:tcW w:w="1013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1,023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2,175</w:t>
            </w:r>
          </w:p>
        </w:tc>
        <w:tc>
          <w:tcPr>
            <w:tcW w:w="1276" w:type="dxa"/>
          </w:tcPr>
          <w:p w:rsidR="00B84759" w:rsidRPr="00E17C8A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B84759" w:rsidTr="00E418C1">
        <w:trPr>
          <w:trHeight w:val="315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Pr="00707865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u w:val="single"/>
                <w:lang w:val="uk-UA" w:eastAsia="zh-CN"/>
              </w:rPr>
            </w:pPr>
          </w:p>
        </w:tc>
        <w:tc>
          <w:tcPr>
            <w:tcW w:w="1013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0,800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2,090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84759" w:rsidTr="00E418C1">
        <w:trPr>
          <w:trHeight w:val="390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Pr="00707865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u w:val="single"/>
                <w:lang w:val="uk-UA" w:eastAsia="zh-CN"/>
              </w:rPr>
            </w:pPr>
          </w:p>
        </w:tc>
        <w:tc>
          <w:tcPr>
            <w:tcW w:w="1013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0,964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2,175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84759" w:rsidTr="00E418C1">
        <w:trPr>
          <w:trHeight w:val="510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Pr="00707865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u w:val="single"/>
                <w:lang w:val="uk-UA" w:eastAsia="zh-CN"/>
              </w:rPr>
            </w:pPr>
          </w:p>
        </w:tc>
        <w:tc>
          <w:tcPr>
            <w:tcW w:w="1013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0,880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2,175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84759" w:rsidTr="00E418C1">
        <w:trPr>
          <w:trHeight w:val="367"/>
        </w:trPr>
        <w:tc>
          <w:tcPr>
            <w:tcW w:w="506" w:type="dxa"/>
            <w:vMerge/>
          </w:tcPr>
          <w:p w:rsidR="00B84759" w:rsidRDefault="00B84759" w:rsidP="00E418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</w:tcPr>
          <w:p w:rsidR="00B84759" w:rsidRPr="00707865" w:rsidRDefault="00B84759" w:rsidP="00E41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39" w:type="dxa"/>
            <w:vMerge/>
          </w:tcPr>
          <w:p w:rsidR="00B84759" w:rsidRPr="00D87517" w:rsidRDefault="00B84759" w:rsidP="00E418C1">
            <w:pPr>
              <w:suppressAutoHyphens/>
              <w:rPr>
                <w:rFonts w:ascii="Times New Roman" w:hAnsi="Times New Roman"/>
                <w:u w:val="single"/>
                <w:lang w:val="uk-UA" w:eastAsia="zh-CN"/>
              </w:rPr>
            </w:pPr>
          </w:p>
        </w:tc>
        <w:tc>
          <w:tcPr>
            <w:tcW w:w="1013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0,937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2,175</w:t>
            </w:r>
          </w:p>
        </w:tc>
        <w:tc>
          <w:tcPr>
            <w:tcW w:w="1276" w:type="dxa"/>
          </w:tcPr>
          <w:p w:rsidR="00B84759" w:rsidRDefault="00B84759" w:rsidP="00E4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</w:tbl>
    <w:p w:rsidR="00B84759" w:rsidRDefault="00B84759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062C" w:rsidRPr="0089062C" w:rsidRDefault="0089062C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84759" w:rsidRPr="00B84759" w:rsidRDefault="00B84759" w:rsidP="00B847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 повинен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відповідати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встановленим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санітарно-гігієнічним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нормам, нормам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стандартизації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сертифікації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супроводжуватись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відповідними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документами,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підтверджують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якість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придатність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. Товар повинен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відповідати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показникам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встановлюються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>діючим</w:t>
      </w:r>
      <w:proofErr w:type="spellEnd"/>
      <w:r w:rsidRPr="00B8475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стандартам ТУ, ДСТУ.</w:t>
      </w:r>
    </w:p>
    <w:p w:rsidR="00B84759" w:rsidRPr="00DE05B3" w:rsidRDefault="00B84759" w:rsidP="00B84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зазначається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з предметом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включати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в себе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в тому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з доставки товару,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завантажувальні-розвантажувальні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заносу в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монтаж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податків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оплачує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пересилкою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сертифікати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акти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наданих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.) через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кур’єрську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 службу («Нова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пошта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DE05B3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DE05B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89062C" w:rsidRPr="00DE05B3" w:rsidRDefault="0089062C" w:rsidP="008906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62C" w:rsidRPr="00D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2"/>
    <w:rsid w:val="00010C12"/>
    <w:rsid w:val="0089062C"/>
    <w:rsid w:val="00B84759"/>
    <w:rsid w:val="00DE05B3"/>
    <w:rsid w:val="00F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DFC0"/>
  <w15:chartTrackingRefBased/>
  <w15:docId w15:val="{34F6F6DE-9805-41FA-B3D7-A756C56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759"/>
    <w:pPr>
      <w:spacing w:after="0" w:line="240" w:lineRule="auto"/>
    </w:pPr>
  </w:style>
  <w:style w:type="table" w:styleId="a4">
    <w:name w:val="Table Grid"/>
    <w:basedOn w:val="a1"/>
    <w:uiPriority w:val="39"/>
    <w:rsid w:val="00B8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urchase/view/32719047" TargetMode="External"/><Relationship Id="rId4" Type="http://schemas.openxmlformats.org/officeDocument/2006/relationships/hyperlink" Target="https://prozorro.gov.ua/plan/UA-P-2021-12-07-01637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K123-3-3</dc:creator>
  <cp:keywords/>
  <dc:description/>
  <cp:lastModifiedBy>K123-3-3</cp:lastModifiedBy>
  <cp:revision>2</cp:revision>
  <dcterms:created xsi:type="dcterms:W3CDTF">2022-06-27T06:18:00Z</dcterms:created>
  <dcterms:modified xsi:type="dcterms:W3CDTF">2022-06-27T06:41:00Z</dcterms:modified>
</cp:coreProperties>
</file>